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828CF" w14:textId="77777777" w:rsidR="00EB1677" w:rsidRDefault="00EB1677" w:rsidP="00BC4869">
      <w:pPr>
        <w:jc w:val="center"/>
        <w:rPr>
          <w:rFonts w:ascii="Calibri" w:hAnsi="Calibri" w:cs="Calibri"/>
          <w:b/>
          <w:color w:val="000000"/>
          <w:sz w:val="25"/>
          <w:szCs w:val="25"/>
          <w:lang w:val="fr-FR" w:eastAsia="fr-CA"/>
        </w:rPr>
      </w:pPr>
    </w:p>
    <w:p w14:paraId="616D5905" w14:textId="1045071E" w:rsidR="00BC4869" w:rsidRDefault="00D23EDA" w:rsidP="00A418E4">
      <w:pPr>
        <w:jc w:val="center"/>
        <w:rPr>
          <w:rFonts w:ascii="Calibri" w:hAnsi="Calibri" w:cs="Calibri"/>
          <w:b/>
          <w:color w:val="000000"/>
          <w:sz w:val="25"/>
          <w:szCs w:val="25"/>
          <w:lang w:val="fr-FR" w:eastAsia="fr-CA"/>
        </w:rPr>
      </w:pPr>
      <w:r>
        <w:rPr>
          <w:rFonts w:ascii="Calibri" w:hAnsi="Calibri" w:cs="Calibri"/>
          <w:b/>
          <w:color w:val="000000"/>
          <w:sz w:val="25"/>
          <w:szCs w:val="25"/>
          <w:lang w:val="fr-FR" w:eastAsia="fr-CA"/>
        </w:rPr>
        <w:t>Des beaux projets qui se terminent</w:t>
      </w:r>
      <w:r w:rsidR="00BC4869">
        <w:rPr>
          <w:rFonts w:ascii="Calibri" w:hAnsi="Calibri" w:cs="Calibri"/>
          <w:b/>
          <w:color w:val="000000"/>
          <w:sz w:val="25"/>
          <w:szCs w:val="25"/>
          <w:lang w:val="fr-FR" w:eastAsia="fr-CA"/>
        </w:rPr>
        <w:t xml:space="preserve"> au Comité ZIP du Haut Saint-Laurent</w:t>
      </w:r>
    </w:p>
    <w:p w14:paraId="432ECC96" w14:textId="77777777" w:rsidR="00A418E4" w:rsidRPr="00A418E4" w:rsidRDefault="00A418E4" w:rsidP="00A418E4">
      <w:pPr>
        <w:jc w:val="center"/>
        <w:rPr>
          <w:rFonts w:ascii="Calibri" w:hAnsi="Calibri" w:cs="Calibri"/>
          <w:b/>
          <w:color w:val="000000"/>
          <w:sz w:val="25"/>
          <w:szCs w:val="25"/>
          <w:lang w:val="fr-FR" w:eastAsia="fr-CA"/>
        </w:rPr>
      </w:pPr>
    </w:p>
    <w:p w14:paraId="18CEC17E" w14:textId="55EAEB36" w:rsidR="00D23EDA" w:rsidRPr="00A418E4" w:rsidRDefault="00BC4869" w:rsidP="00BC4869">
      <w:pPr>
        <w:jc w:val="both"/>
        <w:rPr>
          <w:rFonts w:ascii="Calibri" w:hAnsi="Calibri" w:cs="Calibri"/>
          <w:color w:val="000000"/>
          <w:lang w:eastAsia="fr-CA"/>
        </w:rPr>
      </w:pPr>
      <w:r w:rsidRPr="0072044D">
        <w:rPr>
          <w:rFonts w:ascii="Calibri" w:hAnsi="Calibri" w:cs="Calibri"/>
          <w:b/>
        </w:rPr>
        <w:t xml:space="preserve">Salaberry-de-Valleyfield, le </w:t>
      </w:r>
      <w:r w:rsidR="00304345">
        <w:rPr>
          <w:rFonts w:ascii="Calibri" w:hAnsi="Calibri" w:cs="Calibri"/>
          <w:b/>
        </w:rPr>
        <w:t>17</w:t>
      </w:r>
      <w:r w:rsidR="00B40018">
        <w:rPr>
          <w:rFonts w:ascii="Calibri" w:hAnsi="Calibri" w:cs="Calibri"/>
          <w:b/>
        </w:rPr>
        <w:t> </w:t>
      </w:r>
      <w:r w:rsidR="00304345">
        <w:rPr>
          <w:rFonts w:ascii="Calibri" w:hAnsi="Calibri" w:cs="Calibri"/>
          <w:b/>
        </w:rPr>
        <w:t>janvier 2022</w:t>
      </w:r>
      <w:r w:rsidRPr="0072044D">
        <w:rPr>
          <w:rFonts w:ascii="Calibri" w:hAnsi="Calibri" w:cs="Calibri"/>
          <w:b/>
        </w:rPr>
        <w:t xml:space="preserve"> </w:t>
      </w:r>
      <w:r w:rsidRPr="0072044D">
        <w:rPr>
          <w:rFonts w:ascii="Calibri" w:hAnsi="Calibri" w:cs="Calibri"/>
        </w:rPr>
        <w:t xml:space="preserve">– </w:t>
      </w:r>
      <w:r w:rsidR="00963147">
        <w:rPr>
          <w:rFonts w:ascii="Calibri" w:hAnsi="Calibri" w:cs="Calibri"/>
        </w:rPr>
        <w:t>Cette année, l</w:t>
      </w:r>
      <w:r w:rsidRPr="0072044D">
        <w:rPr>
          <w:rFonts w:ascii="Calibri" w:hAnsi="Calibri" w:cs="Calibri"/>
        </w:rPr>
        <w:t>e Comité ZIP du Haut Saint-Laurent</w:t>
      </w:r>
      <w:r w:rsidR="00963147">
        <w:rPr>
          <w:rFonts w:ascii="Calibri" w:hAnsi="Calibri" w:cs="Calibri"/>
        </w:rPr>
        <w:t xml:space="preserve"> a pu réaliser de nombreux projet</w:t>
      </w:r>
      <w:r w:rsidR="00D23EDA">
        <w:rPr>
          <w:rFonts w:ascii="Calibri" w:hAnsi="Calibri" w:cs="Calibri"/>
        </w:rPr>
        <w:t>s</w:t>
      </w:r>
      <w:r w:rsidR="00963147">
        <w:rPr>
          <w:rFonts w:ascii="Calibri" w:hAnsi="Calibri" w:cs="Calibri"/>
        </w:rPr>
        <w:t xml:space="preserve"> grâce à l’</w:t>
      </w:r>
      <w:r w:rsidRPr="0072044D">
        <w:rPr>
          <w:rFonts w:ascii="Calibri" w:hAnsi="Calibri" w:cs="Calibri"/>
        </w:rPr>
        <w:t>obtent</w:t>
      </w:r>
      <w:r w:rsidR="00963147">
        <w:rPr>
          <w:rFonts w:ascii="Calibri" w:hAnsi="Calibri" w:cs="Calibri"/>
        </w:rPr>
        <w:t>ion d’un financement</w:t>
      </w:r>
      <w:r w:rsidRPr="0072044D">
        <w:rPr>
          <w:rFonts w:ascii="Calibri" w:hAnsi="Calibri" w:cs="Calibri"/>
        </w:rPr>
        <w:t xml:space="preserve"> auprès du</w:t>
      </w:r>
      <w:r w:rsidRPr="0072044D">
        <w:rPr>
          <w:rFonts w:ascii="Calibri" w:hAnsi="Calibri" w:cs="Calibri"/>
          <w:color w:val="000000"/>
          <w:lang w:eastAsia="fr-CA"/>
        </w:rPr>
        <w:t xml:space="preserve"> Fonds d’action Saint-Laurent (FASL</w:t>
      </w:r>
      <w:r w:rsidRPr="0072044D">
        <w:rPr>
          <w:rFonts w:cstheme="minorHAnsi"/>
          <w:color w:val="000000"/>
          <w:shd w:val="clear" w:color="auto" w:fill="FFFFFF"/>
        </w:rPr>
        <w:t>), via son Programme maritime pour la biodiversité du Saint-Laurent (PMB) et grâce au soutien financier du gouvernement du Québec dans le cadre d’Avantage Saint-Laurent, la nouvelle vision maritime provinciale.</w:t>
      </w:r>
      <w:r w:rsidRPr="0072044D">
        <w:rPr>
          <w:rFonts w:ascii="Calibri" w:hAnsi="Calibri" w:cs="Calibri"/>
          <w:color w:val="000000"/>
          <w:lang w:eastAsia="fr-CA"/>
        </w:rPr>
        <w:t xml:space="preserve"> </w:t>
      </w:r>
    </w:p>
    <w:p w14:paraId="4EE1C37B" w14:textId="6499527B" w:rsidR="00280F16" w:rsidRPr="00280F16" w:rsidRDefault="00BC4869" w:rsidP="00BC4869">
      <w:pPr>
        <w:jc w:val="both"/>
        <w:rPr>
          <w:rFonts w:ascii="Calibri" w:hAnsi="Calibri" w:cs="Calibri"/>
          <w:color w:val="000000"/>
          <w:lang w:eastAsia="fr-CA"/>
        </w:rPr>
      </w:pPr>
      <w:r w:rsidRPr="0072044D">
        <w:rPr>
          <w:rFonts w:ascii="Calibri" w:hAnsi="Calibri" w:cs="Calibri"/>
        </w:rPr>
        <w:t>Ces projets visent à la fois l’</w:t>
      </w:r>
      <w:r w:rsidR="002F1C52">
        <w:rPr>
          <w:rFonts w:ascii="Calibri" w:hAnsi="Calibri" w:cs="Calibri"/>
        </w:rPr>
        <w:t>atténuation d</w:t>
      </w:r>
      <w:r w:rsidR="002F1C52" w:rsidRPr="002F1C52">
        <w:rPr>
          <w:rFonts w:ascii="Calibri" w:hAnsi="Calibri" w:cs="Calibri"/>
        </w:rPr>
        <w:t>es impacts de la navigation sur les écosystèmes</w:t>
      </w:r>
      <w:r w:rsidRPr="0072044D">
        <w:rPr>
          <w:rFonts w:ascii="Calibri" w:hAnsi="Calibri" w:cs="Calibri"/>
        </w:rPr>
        <w:t>, tout en assurant le maintien et la protection de la biodiversité.</w:t>
      </w:r>
      <w:r w:rsidR="002F1C52">
        <w:rPr>
          <w:rFonts w:ascii="Calibri" w:hAnsi="Calibri" w:cs="Calibri"/>
        </w:rPr>
        <w:t xml:space="preserve"> Le Comité ZIP</w:t>
      </w:r>
      <w:r w:rsidR="004F0C6E">
        <w:rPr>
          <w:rFonts w:ascii="Calibri" w:hAnsi="Calibri" w:cs="Calibri"/>
        </w:rPr>
        <w:t xml:space="preserve"> HSL</w:t>
      </w:r>
      <w:r w:rsidR="002F1C52">
        <w:rPr>
          <w:rFonts w:ascii="Calibri" w:hAnsi="Calibri" w:cs="Calibri"/>
        </w:rPr>
        <w:t xml:space="preserve"> a réalisé un projet d’aménagement de ban</w:t>
      </w:r>
      <w:r w:rsidR="00D1330B">
        <w:rPr>
          <w:rFonts w:ascii="Calibri" w:hAnsi="Calibri" w:cs="Calibri"/>
        </w:rPr>
        <w:t>des riveraines modèle</w:t>
      </w:r>
      <w:r w:rsidR="00000ADA">
        <w:rPr>
          <w:rFonts w:ascii="Calibri" w:hAnsi="Calibri" w:cs="Calibri"/>
        </w:rPr>
        <w:t>s</w:t>
      </w:r>
      <w:r w:rsidR="00D1330B">
        <w:rPr>
          <w:rFonts w:ascii="Calibri" w:hAnsi="Calibri" w:cs="Calibri"/>
        </w:rPr>
        <w:t xml:space="preserve"> à</w:t>
      </w:r>
      <w:r w:rsidR="004908FC">
        <w:rPr>
          <w:rFonts w:ascii="Calibri" w:hAnsi="Calibri" w:cs="Calibri"/>
        </w:rPr>
        <w:t xml:space="preserve"> deux endroits sur son territoire</w:t>
      </w:r>
      <w:r w:rsidR="00B40018">
        <w:rPr>
          <w:rFonts w:ascii="Calibri" w:hAnsi="Calibri" w:cs="Calibri"/>
        </w:rPr>
        <w:t>,</w:t>
      </w:r>
      <w:r w:rsidR="004908FC">
        <w:rPr>
          <w:rFonts w:ascii="Calibri" w:hAnsi="Calibri" w:cs="Calibri"/>
        </w:rPr>
        <w:t xml:space="preserve"> l’une à</w:t>
      </w:r>
      <w:r w:rsidR="00D1330B">
        <w:rPr>
          <w:rFonts w:ascii="Calibri" w:hAnsi="Calibri" w:cs="Calibri"/>
        </w:rPr>
        <w:t xml:space="preserve"> Beauharnois et </w:t>
      </w:r>
      <w:r w:rsidR="004908FC">
        <w:rPr>
          <w:rFonts w:ascii="Calibri" w:hAnsi="Calibri" w:cs="Calibri"/>
        </w:rPr>
        <w:t xml:space="preserve">l’autre </w:t>
      </w:r>
      <w:r w:rsidR="00D1330B">
        <w:rPr>
          <w:rFonts w:ascii="Calibri" w:hAnsi="Calibri" w:cs="Calibri"/>
        </w:rPr>
        <w:t>à Saint-</w:t>
      </w:r>
      <w:proofErr w:type="spellStart"/>
      <w:r w:rsidR="00D1330B">
        <w:rPr>
          <w:rFonts w:ascii="Calibri" w:hAnsi="Calibri" w:cs="Calibri"/>
        </w:rPr>
        <w:t>Zotique</w:t>
      </w:r>
      <w:proofErr w:type="spellEnd"/>
      <w:r w:rsidR="00D1330B">
        <w:rPr>
          <w:rFonts w:ascii="Calibri" w:hAnsi="Calibri" w:cs="Calibri"/>
        </w:rPr>
        <w:t>.</w:t>
      </w:r>
      <w:r w:rsidR="004908FC">
        <w:rPr>
          <w:rFonts w:ascii="Calibri" w:hAnsi="Calibri" w:cs="Calibri"/>
        </w:rPr>
        <w:t xml:space="preserve"> </w:t>
      </w:r>
      <w:r w:rsidR="004908FC" w:rsidRPr="0072044D">
        <w:rPr>
          <w:rFonts w:ascii="Calibri" w:hAnsi="Calibri" w:cs="Calibri"/>
        </w:rPr>
        <w:t>En plus d’améliorer la biodiversité en rive</w:t>
      </w:r>
      <w:r w:rsidR="004908FC" w:rsidRPr="004908FC">
        <w:rPr>
          <w:rFonts w:ascii="Calibri" w:hAnsi="Calibri" w:cs="Calibri"/>
        </w:rPr>
        <w:t>, la bande riveraine est une des stratégies qui permettent d’amél</w:t>
      </w:r>
      <w:r w:rsidR="004908FC">
        <w:rPr>
          <w:rFonts w:ascii="Calibri" w:hAnsi="Calibri" w:cs="Calibri"/>
        </w:rPr>
        <w:t>iorer la qualité de l’eau des lacs, d</w:t>
      </w:r>
      <w:r w:rsidR="004908FC" w:rsidRPr="004908FC">
        <w:rPr>
          <w:rFonts w:ascii="Calibri" w:hAnsi="Calibri" w:cs="Calibri"/>
        </w:rPr>
        <w:t>es cours d’ea</w:t>
      </w:r>
      <w:r w:rsidR="004908FC">
        <w:rPr>
          <w:rFonts w:ascii="Calibri" w:hAnsi="Calibri" w:cs="Calibri"/>
        </w:rPr>
        <w:t>u ainsi que du</w:t>
      </w:r>
      <w:r w:rsidR="004908FC" w:rsidRPr="004908FC">
        <w:rPr>
          <w:rFonts w:ascii="Calibri" w:hAnsi="Calibri" w:cs="Calibri"/>
        </w:rPr>
        <w:t xml:space="preserve"> fleuve Saint-Laurent.</w:t>
      </w:r>
      <w:r w:rsidR="004908FC" w:rsidRPr="004908FC">
        <w:t xml:space="preserve"> </w:t>
      </w:r>
      <w:r w:rsidR="004908FC">
        <w:rPr>
          <w:rFonts w:ascii="Calibri" w:hAnsi="Calibri" w:cs="Calibri"/>
        </w:rPr>
        <w:t>C</w:t>
      </w:r>
      <w:r w:rsidR="004908FC" w:rsidRPr="004908FC">
        <w:rPr>
          <w:rFonts w:ascii="Calibri" w:hAnsi="Calibri" w:cs="Calibri"/>
        </w:rPr>
        <w:t xml:space="preserve">es plantations visent à sensibiliser les riverains aux rôles </w:t>
      </w:r>
      <w:r w:rsidR="00471770">
        <w:rPr>
          <w:rFonts w:ascii="Calibri" w:hAnsi="Calibri" w:cs="Calibri"/>
        </w:rPr>
        <w:t>essentiels qu’ont l</w:t>
      </w:r>
      <w:r w:rsidR="004908FC" w:rsidRPr="004908FC">
        <w:rPr>
          <w:rFonts w:ascii="Calibri" w:hAnsi="Calibri" w:cs="Calibri"/>
        </w:rPr>
        <w:t>es bande</w:t>
      </w:r>
      <w:r w:rsidR="00000ADA">
        <w:rPr>
          <w:rFonts w:ascii="Calibri" w:hAnsi="Calibri" w:cs="Calibri"/>
        </w:rPr>
        <w:t>s riveraines</w:t>
      </w:r>
      <w:r w:rsidR="00471770">
        <w:rPr>
          <w:rFonts w:ascii="Calibri" w:hAnsi="Calibri" w:cs="Calibri"/>
        </w:rPr>
        <w:t xml:space="preserve"> dans</w:t>
      </w:r>
      <w:r w:rsidR="002138EB">
        <w:rPr>
          <w:rFonts w:ascii="Calibri" w:hAnsi="Calibri" w:cs="Calibri"/>
        </w:rPr>
        <w:t xml:space="preserve"> l’écosystème.</w:t>
      </w:r>
      <w:r w:rsidR="00000ADA">
        <w:rPr>
          <w:rFonts w:ascii="Calibri" w:hAnsi="Calibri" w:cs="Calibri"/>
        </w:rPr>
        <w:t xml:space="preserve"> </w:t>
      </w:r>
      <w:r w:rsidR="00471770">
        <w:rPr>
          <w:rFonts w:ascii="Calibri" w:hAnsi="Calibri" w:cs="Calibri"/>
        </w:rPr>
        <w:t xml:space="preserve">De plus, </w:t>
      </w:r>
      <w:r w:rsidR="008D22E5" w:rsidRPr="008D22E5">
        <w:rPr>
          <w:rFonts w:ascii="Calibri" w:hAnsi="Calibri" w:cs="Calibri"/>
        </w:rPr>
        <w:t>les si</w:t>
      </w:r>
      <w:r w:rsidR="008D22E5">
        <w:rPr>
          <w:rFonts w:ascii="Calibri" w:hAnsi="Calibri" w:cs="Calibri"/>
        </w:rPr>
        <w:t>tes de démonstration procurent</w:t>
      </w:r>
      <w:r w:rsidR="008D22E5" w:rsidRPr="008D22E5">
        <w:rPr>
          <w:rFonts w:ascii="Calibri" w:hAnsi="Calibri" w:cs="Calibri"/>
        </w:rPr>
        <w:t xml:space="preserve"> des exemples inspirants à suivre pour les municipalités voisine</w:t>
      </w:r>
      <w:r w:rsidR="008D22E5">
        <w:rPr>
          <w:rFonts w:ascii="Calibri" w:hAnsi="Calibri" w:cs="Calibri"/>
        </w:rPr>
        <w:t>s, ainsi que pour les citoyens.</w:t>
      </w:r>
      <w:r w:rsidRPr="0072044D">
        <w:rPr>
          <w:rFonts w:ascii="Calibri" w:hAnsi="Calibri" w:cs="Calibri"/>
        </w:rPr>
        <w:t xml:space="preserve"> </w:t>
      </w:r>
    </w:p>
    <w:p w14:paraId="4615352D" w14:textId="5FC660D8" w:rsidR="00BC4869" w:rsidRPr="0072044D" w:rsidRDefault="00A418E4" w:rsidP="00A418E4">
      <w:pPr>
        <w:jc w:val="center"/>
        <w:rPr>
          <w:rFonts w:ascii="Calibri" w:hAnsi="Calibri" w:cs="Calibri"/>
        </w:rPr>
      </w:pPr>
      <w:r>
        <w:rPr>
          <w:rFonts w:ascii="Calibri" w:hAnsi="Calibri" w:cs="Calibri"/>
          <w:noProof/>
          <w:lang w:eastAsia="fr-CA"/>
        </w:rPr>
        <w:drawing>
          <wp:inline distT="0" distB="0" distL="0" distR="0" wp14:anchorId="587E239F" wp14:editId="78E4D916">
            <wp:extent cx="5486400" cy="411480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_Beauharnois_061020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6A5E3FA" w14:textId="68FE3403" w:rsidR="00BC4869" w:rsidRDefault="00BC4869" w:rsidP="00BC4869">
      <w:pPr>
        <w:jc w:val="both"/>
        <w:rPr>
          <w:rFonts w:ascii="Calibri" w:hAnsi="Calibri" w:cs="Calibri"/>
        </w:rPr>
      </w:pPr>
      <w:r w:rsidRPr="0072044D">
        <w:rPr>
          <w:rFonts w:ascii="Calibri" w:hAnsi="Calibri" w:cs="Calibri"/>
        </w:rPr>
        <w:lastRenderedPageBreak/>
        <w:t>En réponse au rapide déclin des populations d’hirondelle noire, 4</w:t>
      </w:r>
      <w:r>
        <w:rPr>
          <w:rFonts w:ascii="Calibri" w:hAnsi="Calibri" w:cs="Calibri"/>
        </w:rPr>
        <w:t> </w:t>
      </w:r>
      <w:r w:rsidR="00D66535">
        <w:rPr>
          <w:rFonts w:ascii="Calibri" w:hAnsi="Calibri" w:cs="Calibri"/>
        </w:rPr>
        <w:t xml:space="preserve">nichoirs </w:t>
      </w:r>
      <w:r w:rsidRPr="0072044D">
        <w:rPr>
          <w:rFonts w:ascii="Calibri" w:hAnsi="Calibri" w:cs="Calibri"/>
        </w:rPr>
        <w:t>ont</w:t>
      </w:r>
      <w:r w:rsidR="00D66535">
        <w:rPr>
          <w:rFonts w:ascii="Calibri" w:hAnsi="Calibri" w:cs="Calibri"/>
        </w:rPr>
        <w:t xml:space="preserve"> été</w:t>
      </w:r>
      <w:r w:rsidRPr="0072044D">
        <w:rPr>
          <w:rFonts w:ascii="Calibri" w:hAnsi="Calibri" w:cs="Calibri"/>
        </w:rPr>
        <w:t xml:space="preserve"> installés au courant de l’été avec un soutien financier de </w:t>
      </w:r>
      <w:r>
        <w:rPr>
          <w:rFonts w:ascii="Calibri" w:hAnsi="Calibri" w:cs="Calibri"/>
        </w:rPr>
        <w:t>l’entreprise W. R. Grace Canada Corp</w:t>
      </w:r>
      <w:r w:rsidR="00B40018">
        <w:rPr>
          <w:rFonts w:ascii="Calibri" w:hAnsi="Calibri" w:cs="Calibri"/>
        </w:rPr>
        <w:t>.</w:t>
      </w:r>
      <w:r>
        <w:rPr>
          <w:rFonts w:ascii="Calibri" w:hAnsi="Calibri" w:cs="Calibri"/>
        </w:rPr>
        <w:t xml:space="preserve"> à Salaberry-de-Valleyfield</w:t>
      </w:r>
      <w:r w:rsidRPr="0072044D">
        <w:rPr>
          <w:rFonts w:ascii="Calibri" w:hAnsi="Calibri" w:cs="Calibri"/>
        </w:rPr>
        <w:t>. Il faut savoir que les populations d’hirondelles noires de l’Est nichent presque exclusivement dans des nichoirs ar</w:t>
      </w:r>
      <w:r w:rsidR="00D66535">
        <w:rPr>
          <w:rFonts w:ascii="Calibri" w:hAnsi="Calibri" w:cs="Calibri"/>
        </w:rPr>
        <w:t xml:space="preserve">tificiels. </w:t>
      </w:r>
      <w:r w:rsidR="00425471">
        <w:rPr>
          <w:rFonts w:ascii="Calibri" w:hAnsi="Calibri" w:cs="Calibri"/>
        </w:rPr>
        <w:t>Celles-ci dépendent donc des initiatives comme celles du Comité ZIP HSL afin d’</w:t>
      </w:r>
      <w:r w:rsidRPr="0072044D">
        <w:rPr>
          <w:rFonts w:ascii="Calibri" w:hAnsi="Calibri" w:cs="Calibri"/>
        </w:rPr>
        <w:t>a</w:t>
      </w:r>
      <w:r w:rsidR="00425471">
        <w:rPr>
          <w:rFonts w:ascii="Calibri" w:hAnsi="Calibri" w:cs="Calibri"/>
        </w:rPr>
        <w:t>méliorer</w:t>
      </w:r>
      <w:r w:rsidR="00D66535">
        <w:rPr>
          <w:rFonts w:ascii="Calibri" w:hAnsi="Calibri" w:cs="Calibri"/>
        </w:rPr>
        <w:t xml:space="preserve"> leur habitat.</w:t>
      </w:r>
      <w:r w:rsidR="00F9329E">
        <w:rPr>
          <w:rFonts w:ascii="Calibri" w:hAnsi="Calibri" w:cs="Calibri"/>
        </w:rPr>
        <w:t xml:space="preserve"> Les nichoirs ont été installés à Coteau-du-Lac, </w:t>
      </w:r>
      <w:r w:rsidR="00C8350B">
        <w:rPr>
          <w:rFonts w:ascii="Calibri" w:hAnsi="Calibri" w:cs="Calibri"/>
        </w:rPr>
        <w:t>Saint-Anicet</w:t>
      </w:r>
      <w:r w:rsidR="00F9329E">
        <w:rPr>
          <w:rFonts w:ascii="Calibri" w:hAnsi="Calibri" w:cs="Calibri"/>
        </w:rPr>
        <w:t xml:space="preserve">, Saint-Stanislas-de-Kostka ainsi qu’à </w:t>
      </w:r>
      <w:r w:rsidR="00C8350B">
        <w:rPr>
          <w:rFonts w:ascii="Calibri" w:hAnsi="Calibri" w:cs="Calibri"/>
        </w:rPr>
        <w:t>Salaberry-de-Valleyfield</w:t>
      </w:r>
      <w:r w:rsidR="00F9329E">
        <w:rPr>
          <w:rFonts w:ascii="Calibri" w:hAnsi="Calibri" w:cs="Calibri"/>
        </w:rPr>
        <w:t>.</w:t>
      </w:r>
    </w:p>
    <w:p w14:paraId="1527C57D" w14:textId="2CF5F104" w:rsidR="00BC4869" w:rsidRPr="0072044D" w:rsidRDefault="00A418E4" w:rsidP="00A418E4">
      <w:pPr>
        <w:jc w:val="center"/>
        <w:rPr>
          <w:rFonts w:ascii="Calibri" w:hAnsi="Calibri" w:cs="Calibri"/>
        </w:rPr>
      </w:pPr>
      <w:r>
        <w:rPr>
          <w:rFonts w:ascii="Calibri" w:hAnsi="Calibri" w:cs="Calibri"/>
          <w:noProof/>
          <w:lang w:eastAsia="fr-CA"/>
        </w:rPr>
        <w:drawing>
          <wp:inline distT="0" distB="0" distL="0" distR="0" wp14:anchorId="722BEF48" wp14:editId="311E77C0">
            <wp:extent cx="5486400" cy="411480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1022_NHN_Coteau-du-Lac_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1D013D1" w14:textId="47CD660A" w:rsidR="00D66535" w:rsidRPr="00D66535" w:rsidRDefault="00BC4869" w:rsidP="00D66535">
      <w:pPr>
        <w:jc w:val="both"/>
        <w:rPr>
          <w:rFonts w:ascii="Calibri" w:hAnsi="Calibri" w:cs="Calibri"/>
        </w:rPr>
      </w:pPr>
      <w:r w:rsidRPr="0072044D">
        <w:rPr>
          <w:rFonts w:ascii="Calibri" w:hAnsi="Calibri" w:cs="Calibri"/>
        </w:rPr>
        <w:t xml:space="preserve">Pour la réalisation de ces projets, le Comité </w:t>
      </w:r>
      <w:r w:rsidR="00D66535">
        <w:rPr>
          <w:rFonts w:ascii="Calibri" w:hAnsi="Calibri" w:cs="Calibri"/>
        </w:rPr>
        <w:t>ZIP du Haut Saint-Laurent a su</w:t>
      </w:r>
      <w:r w:rsidRPr="0072044D">
        <w:rPr>
          <w:rFonts w:ascii="Calibri" w:hAnsi="Calibri" w:cs="Calibri"/>
        </w:rPr>
        <w:t xml:space="preserve"> compter sur le soutien et l’expertise de nombreux partenaires du milieu. L’organisme invite à suivre ses médias sociaux et son site </w:t>
      </w:r>
      <w:r w:rsidR="008D22E5">
        <w:rPr>
          <w:rFonts w:ascii="Calibri" w:hAnsi="Calibri" w:cs="Calibri"/>
        </w:rPr>
        <w:t>i</w:t>
      </w:r>
      <w:r w:rsidRPr="0072044D">
        <w:rPr>
          <w:rFonts w:ascii="Calibri" w:hAnsi="Calibri" w:cs="Calibri"/>
        </w:rPr>
        <w:t>nternet pour</w:t>
      </w:r>
      <w:r w:rsidR="00D66535">
        <w:rPr>
          <w:rFonts w:ascii="Calibri" w:hAnsi="Calibri" w:cs="Calibri"/>
        </w:rPr>
        <w:t xml:space="preserve"> découvrir l</w:t>
      </w:r>
      <w:r w:rsidR="00D66535" w:rsidRPr="0072044D">
        <w:rPr>
          <w:rFonts w:ascii="Calibri" w:hAnsi="Calibri" w:cs="Calibri"/>
        </w:rPr>
        <w:t>es différents projets</w:t>
      </w:r>
      <w:r w:rsidR="00D66535">
        <w:rPr>
          <w:rFonts w:ascii="Calibri" w:hAnsi="Calibri" w:cs="Calibri"/>
        </w:rPr>
        <w:t xml:space="preserve"> réalisés au cour</w:t>
      </w:r>
      <w:r w:rsidR="00D23EDA">
        <w:rPr>
          <w:rFonts w:ascii="Calibri" w:hAnsi="Calibri" w:cs="Calibri"/>
        </w:rPr>
        <w:t>s</w:t>
      </w:r>
      <w:r w:rsidR="00D66535">
        <w:rPr>
          <w:rFonts w:ascii="Calibri" w:hAnsi="Calibri" w:cs="Calibri"/>
        </w:rPr>
        <w:t xml:space="preserve"> de l’année</w:t>
      </w:r>
      <w:r w:rsidR="00B40018">
        <w:rPr>
          <w:rFonts w:ascii="Calibri" w:hAnsi="Calibri" w:cs="Calibri"/>
        </w:rPr>
        <w:t> </w:t>
      </w:r>
      <w:r w:rsidR="00D66535">
        <w:rPr>
          <w:rFonts w:ascii="Calibri" w:hAnsi="Calibri" w:cs="Calibri"/>
        </w:rPr>
        <w:t>2021</w:t>
      </w:r>
      <w:r w:rsidRPr="0072044D">
        <w:rPr>
          <w:rFonts w:ascii="Calibri" w:hAnsi="Calibri" w:cs="Calibri"/>
        </w:rPr>
        <w:t xml:space="preserve">. </w:t>
      </w:r>
    </w:p>
    <w:p w14:paraId="169516BD" w14:textId="77777777" w:rsidR="00BC4869" w:rsidRDefault="00BC4869" w:rsidP="00BC4869">
      <w:pPr>
        <w:jc w:val="both"/>
        <w:rPr>
          <w:rFonts w:cstheme="minorHAnsi"/>
          <w:b/>
          <w:bCs/>
        </w:rPr>
      </w:pPr>
    </w:p>
    <w:p w14:paraId="70961405" w14:textId="77777777" w:rsidR="00BC4869" w:rsidRPr="00B44A20" w:rsidRDefault="00BC4869" w:rsidP="00BC4869">
      <w:pPr>
        <w:jc w:val="both"/>
        <w:rPr>
          <w:rFonts w:cstheme="minorHAnsi"/>
          <w:b/>
          <w:bCs/>
        </w:rPr>
      </w:pPr>
    </w:p>
    <w:p w14:paraId="488AE8F8" w14:textId="77777777" w:rsidR="00425471" w:rsidRDefault="00425471">
      <w:pPr>
        <w:rPr>
          <w:rFonts w:ascii="Calibri" w:hAnsi="Calibri" w:cs="Calibri"/>
          <w:b/>
          <w:color w:val="000000"/>
          <w:szCs w:val="21"/>
        </w:rPr>
      </w:pPr>
      <w:r>
        <w:rPr>
          <w:rFonts w:ascii="Calibri" w:hAnsi="Calibri" w:cs="Calibri"/>
          <w:b/>
          <w:color w:val="000000"/>
          <w:szCs w:val="21"/>
        </w:rPr>
        <w:br w:type="page"/>
      </w:r>
    </w:p>
    <w:p w14:paraId="14185454" w14:textId="77777777" w:rsidR="00425471" w:rsidRDefault="00425471" w:rsidP="00BC4869">
      <w:pPr>
        <w:widowControl w:val="0"/>
        <w:jc w:val="both"/>
        <w:rPr>
          <w:rFonts w:ascii="Calibri" w:hAnsi="Calibri" w:cs="Calibri"/>
          <w:b/>
          <w:color w:val="000000"/>
          <w:szCs w:val="21"/>
        </w:rPr>
      </w:pPr>
    </w:p>
    <w:p w14:paraId="0467D304" w14:textId="77777777" w:rsidR="00BC4869" w:rsidRDefault="00BC4869" w:rsidP="00BC4869">
      <w:pPr>
        <w:widowControl w:val="0"/>
        <w:jc w:val="both"/>
        <w:rPr>
          <w:rFonts w:ascii="Calibri" w:hAnsi="Calibri" w:cs="Calibri"/>
          <w:b/>
          <w:color w:val="000000"/>
          <w:szCs w:val="21"/>
        </w:rPr>
      </w:pPr>
      <w:r w:rsidRPr="00CB4A7D">
        <w:rPr>
          <w:rFonts w:ascii="Calibri" w:hAnsi="Calibri" w:cs="Calibri"/>
          <w:b/>
          <w:color w:val="000000"/>
          <w:szCs w:val="21"/>
        </w:rPr>
        <w:t xml:space="preserve">À propos du </w:t>
      </w:r>
      <w:r>
        <w:rPr>
          <w:rFonts w:ascii="Calibri" w:hAnsi="Calibri" w:cs="Calibri"/>
          <w:b/>
          <w:color w:val="000000"/>
          <w:szCs w:val="21"/>
        </w:rPr>
        <w:t>Comité ZIP du Haut Saint-Laurent</w:t>
      </w:r>
    </w:p>
    <w:p w14:paraId="715985FA" w14:textId="2D686B2C" w:rsidR="00BC4869" w:rsidRPr="0072044D" w:rsidRDefault="00BC4869" w:rsidP="00020508">
      <w:pPr>
        <w:widowControl w:val="0"/>
        <w:jc w:val="both"/>
        <w:rPr>
          <w:rFonts w:ascii="Calibri" w:hAnsi="Calibri" w:cs="Calibri"/>
          <w:color w:val="000000"/>
          <w:szCs w:val="21"/>
        </w:rPr>
      </w:pPr>
      <w:r w:rsidRPr="00CB4A7D">
        <w:rPr>
          <w:rFonts w:ascii="Calibri" w:hAnsi="Calibri" w:cs="Calibri"/>
          <w:b/>
          <w:color w:val="000000"/>
          <w:szCs w:val="21"/>
        </w:rPr>
        <w:t xml:space="preserve"> </w:t>
      </w:r>
      <w:r w:rsidRPr="0072044D">
        <w:rPr>
          <w:rFonts w:ascii="Calibri" w:hAnsi="Calibri" w:cs="Calibri"/>
          <w:color w:val="000000"/>
          <w:szCs w:val="21"/>
        </w:rPr>
        <w:t>Le comité ZIP du Haut Saint-Laurent est un organisme à but non lucratif dont la mission est de promouvoir et de soutenir, par la concertation régionale, des actions visant la protection, la réhabilitation et la mise en valeur des ressources et usages liés au fleuve Saint-Laurent, et ce, dans une perspective de développement durable.</w:t>
      </w:r>
    </w:p>
    <w:p w14:paraId="1275AF26" w14:textId="77777777" w:rsidR="00BC4869" w:rsidRPr="009308DC" w:rsidRDefault="00BC4869" w:rsidP="00BC4869">
      <w:pPr>
        <w:pStyle w:val="NormalWeb"/>
        <w:shd w:val="clear" w:color="auto" w:fill="FFFFFF"/>
        <w:spacing w:before="0" w:beforeAutospacing="0" w:after="120" w:afterAutospacing="0"/>
        <w:jc w:val="both"/>
        <w:rPr>
          <w:rFonts w:ascii="Calibri" w:hAnsi="Calibri" w:cs="Calibri"/>
          <w:bCs/>
          <w:color w:val="000000"/>
          <w:sz w:val="22"/>
          <w:szCs w:val="22"/>
        </w:rPr>
      </w:pPr>
    </w:p>
    <w:p w14:paraId="47CD0ADD" w14:textId="77777777" w:rsidR="00BC4869" w:rsidRPr="00461476" w:rsidRDefault="00BC4869" w:rsidP="00BC4869">
      <w:pPr>
        <w:pStyle w:val="NormalWeb"/>
        <w:shd w:val="clear" w:color="auto" w:fill="FFFFFF"/>
        <w:spacing w:before="0" w:beforeAutospacing="0" w:after="120" w:afterAutospacing="0"/>
        <w:jc w:val="both"/>
        <w:rPr>
          <w:rFonts w:ascii="Calibri" w:hAnsi="Calibri" w:cs="Calibri"/>
          <w:b/>
          <w:color w:val="000000"/>
          <w:sz w:val="22"/>
          <w:szCs w:val="22"/>
        </w:rPr>
      </w:pPr>
      <w:r w:rsidRPr="00461476">
        <w:rPr>
          <w:rFonts w:ascii="Calibri" w:hAnsi="Calibri" w:cs="Calibri"/>
          <w:b/>
          <w:color w:val="000000"/>
          <w:sz w:val="22"/>
          <w:szCs w:val="22"/>
        </w:rPr>
        <w:t>À propos du Fonds d’action Saint-Laurent (FASL)</w:t>
      </w:r>
    </w:p>
    <w:p w14:paraId="202693C2" w14:textId="77777777" w:rsidR="00BC4869" w:rsidRPr="0072044D" w:rsidRDefault="00BC4869" w:rsidP="00BC4869">
      <w:pPr>
        <w:pStyle w:val="NormalWeb"/>
        <w:shd w:val="clear" w:color="auto" w:fill="FFFFFF"/>
        <w:spacing w:before="0" w:beforeAutospacing="0" w:after="120" w:afterAutospacing="0"/>
        <w:jc w:val="both"/>
        <w:rPr>
          <w:rFonts w:asciiTheme="minorHAnsi" w:hAnsiTheme="minorHAnsi" w:cstheme="minorHAnsi"/>
          <w:b/>
          <w:bCs/>
          <w:color w:val="000000"/>
          <w:sz w:val="22"/>
          <w:szCs w:val="22"/>
        </w:rPr>
      </w:pPr>
      <w:r w:rsidRPr="0072044D">
        <w:rPr>
          <w:rFonts w:asciiTheme="minorHAnsi" w:hAnsiTheme="minorHAnsi" w:cstheme="minorHAnsi"/>
          <w:color w:val="000000"/>
          <w:sz w:val="22"/>
          <w:szCs w:val="22"/>
        </w:rPr>
        <w:t xml:space="preserve">Le </w:t>
      </w:r>
      <w:hyperlink r:id="rId8" w:history="1">
        <w:r w:rsidRPr="0072044D">
          <w:rPr>
            <w:rStyle w:val="Lienhypertexte"/>
            <w:rFonts w:asciiTheme="minorHAnsi" w:hAnsiTheme="minorHAnsi" w:cstheme="minorHAnsi"/>
            <w:sz w:val="22"/>
            <w:szCs w:val="22"/>
          </w:rPr>
          <w:t>Fonds d’action Saint-Laurent</w:t>
        </w:r>
      </w:hyperlink>
      <w:r w:rsidRPr="0072044D">
        <w:rPr>
          <w:rFonts w:asciiTheme="minorHAnsi" w:hAnsiTheme="minorHAnsi" w:cstheme="minorHAnsi"/>
          <w:color w:val="000000"/>
          <w:sz w:val="22"/>
          <w:szCs w:val="22"/>
        </w:rPr>
        <w:t xml:space="preserve"> est un organisme de bienfaisance voué au soutien financier de projets qui favorisent la conservation des écosystèmes et de la biodiversité du fleuve Saint-Laurent et de son golfe ainsi que le maintien et la mise en valeur de ses usages.</w:t>
      </w:r>
      <w:r w:rsidRPr="0072044D">
        <w:rPr>
          <w:rFonts w:asciiTheme="minorHAnsi" w:hAnsiTheme="minorHAnsi" w:cstheme="minorHAnsi"/>
          <w:b/>
          <w:bCs/>
          <w:color w:val="000000"/>
          <w:sz w:val="22"/>
          <w:szCs w:val="22"/>
        </w:rPr>
        <w:t xml:space="preserve"> </w:t>
      </w:r>
    </w:p>
    <w:p w14:paraId="02FF3A4B" w14:textId="77777777" w:rsidR="00BC4869" w:rsidRPr="0072044D" w:rsidRDefault="00BC4869" w:rsidP="00BC4869">
      <w:pPr>
        <w:pStyle w:val="NormalWeb"/>
        <w:shd w:val="clear" w:color="auto" w:fill="FFFFFF"/>
        <w:spacing w:before="0" w:beforeAutospacing="0" w:after="120" w:afterAutospacing="0"/>
        <w:jc w:val="both"/>
        <w:rPr>
          <w:rFonts w:asciiTheme="minorHAnsi" w:hAnsiTheme="minorHAnsi" w:cstheme="minorHAnsi"/>
          <w:color w:val="000000"/>
          <w:sz w:val="22"/>
          <w:szCs w:val="22"/>
        </w:rPr>
      </w:pPr>
    </w:p>
    <w:p w14:paraId="146C074C" w14:textId="77777777" w:rsidR="00BC4869" w:rsidRDefault="00BC4869" w:rsidP="00BC4869">
      <w:pPr>
        <w:jc w:val="both"/>
        <w:rPr>
          <w:rFonts w:cstheme="minorHAnsi"/>
          <w:b/>
          <w:bCs/>
          <w:iCs/>
          <w:lang w:eastAsia="fr-CA"/>
        </w:rPr>
      </w:pPr>
      <w:r w:rsidRPr="0072044D">
        <w:rPr>
          <w:rFonts w:cstheme="minorHAnsi"/>
          <w:b/>
          <w:bCs/>
          <w:iCs/>
          <w:lang w:eastAsia="fr-CA"/>
        </w:rPr>
        <w:t>À propos d’Avantage Saint-Laurent</w:t>
      </w:r>
    </w:p>
    <w:p w14:paraId="0F609CFF" w14:textId="77777777" w:rsidR="00BC4869" w:rsidRPr="0072044D" w:rsidRDefault="00BC4869" w:rsidP="00BC4869">
      <w:pPr>
        <w:jc w:val="both"/>
        <w:rPr>
          <w:rFonts w:cstheme="minorHAnsi"/>
          <w:b/>
          <w:bCs/>
          <w:iCs/>
          <w:lang w:eastAsia="fr-CA"/>
        </w:rPr>
      </w:pPr>
    </w:p>
    <w:p w14:paraId="08739777" w14:textId="77777777" w:rsidR="00BC4869" w:rsidRPr="0072044D" w:rsidRDefault="00BC4869" w:rsidP="00BC4869">
      <w:pPr>
        <w:jc w:val="both"/>
        <w:rPr>
          <w:rFonts w:cstheme="minorHAnsi"/>
          <w:iCs/>
          <w:lang w:eastAsia="fr-CA"/>
        </w:rPr>
      </w:pPr>
      <w:r w:rsidRPr="0072044D">
        <w:rPr>
          <w:rFonts w:cstheme="minorHAnsi"/>
          <w:iCs/>
          <w:lang w:eastAsia="fr-CA"/>
        </w:rPr>
        <w:t xml:space="preserve">Lancée en 2021, </w:t>
      </w:r>
      <w:hyperlink r:id="rId9" w:history="1">
        <w:r w:rsidRPr="0072044D">
          <w:rPr>
            <w:rStyle w:val="Lienhypertexte"/>
            <w:rFonts w:cstheme="minorHAnsi"/>
            <w:iCs/>
            <w:lang w:eastAsia="fr-CA"/>
          </w:rPr>
          <w:t>Avantage Saint-Laurent</w:t>
        </w:r>
      </w:hyperlink>
      <w:r w:rsidRPr="0072044D">
        <w:rPr>
          <w:rFonts w:cstheme="minorHAnsi"/>
          <w:iCs/>
          <w:lang w:eastAsia="fr-CA"/>
        </w:rPr>
        <w:t xml:space="preserve"> est la nouvelle vision maritime du gouvernement du Québec. Elle s’articule autour de trois orientations soit celle de doter le Saint-Laurent d’infrastructures portuaires modernes et compétitives, d’assurer sur le fleuve une navigation efficace et respectueuse des écosystèmes et d’offrir aux communautés maritimes des possibilités </w:t>
      </w:r>
      <w:r>
        <w:rPr>
          <w:rFonts w:cstheme="minorHAnsi"/>
          <w:iCs/>
          <w:lang w:eastAsia="fr-CA"/>
        </w:rPr>
        <w:t>prometteuses et durables de</w:t>
      </w:r>
      <w:r w:rsidRPr="0072044D">
        <w:rPr>
          <w:rFonts w:cstheme="minorHAnsi"/>
          <w:iCs/>
          <w:lang w:eastAsia="fr-CA"/>
        </w:rPr>
        <w:t xml:space="preserve"> développement</w:t>
      </w:r>
      <w:r>
        <w:rPr>
          <w:rFonts w:cstheme="minorHAnsi"/>
          <w:iCs/>
          <w:lang w:eastAsia="fr-CA"/>
        </w:rPr>
        <w:t>.</w:t>
      </w:r>
      <w:r w:rsidRPr="0072044D">
        <w:rPr>
          <w:rFonts w:cstheme="minorHAnsi"/>
          <w:iCs/>
          <w:lang w:eastAsia="fr-CA"/>
        </w:rPr>
        <w:t xml:space="preserve"> </w:t>
      </w:r>
    </w:p>
    <w:p w14:paraId="558665E1" w14:textId="77777777" w:rsidR="00CB12D6" w:rsidRDefault="00CB12D6" w:rsidP="00BC4869">
      <w:pPr>
        <w:rPr>
          <w:rFonts w:ascii="Calibri" w:hAnsi="Calibri" w:cs="Calibri"/>
          <w:b/>
          <w:bCs/>
          <w:iCs/>
          <w:lang w:eastAsia="fr-CA"/>
        </w:rPr>
      </w:pPr>
    </w:p>
    <w:p w14:paraId="1FFF44AD" w14:textId="77777777" w:rsidR="00BC4869" w:rsidRPr="00461476" w:rsidRDefault="00BC4869" w:rsidP="00BC4869">
      <w:pPr>
        <w:rPr>
          <w:rFonts w:ascii="Calibri" w:hAnsi="Calibri" w:cs="Calibri"/>
          <w:b/>
          <w:bCs/>
          <w:iCs/>
          <w:lang w:eastAsia="fr-CA"/>
        </w:rPr>
      </w:pPr>
      <w:r w:rsidRPr="00461476">
        <w:rPr>
          <w:rFonts w:ascii="Calibri" w:hAnsi="Calibri" w:cs="Calibri"/>
          <w:b/>
          <w:bCs/>
          <w:iCs/>
          <w:lang w:eastAsia="fr-CA"/>
        </w:rPr>
        <w:t>Pour information :</w:t>
      </w:r>
      <w:r>
        <w:rPr>
          <w:rFonts w:ascii="Calibri" w:hAnsi="Calibri" w:cs="Calibri"/>
          <w:b/>
          <w:bCs/>
          <w:iCs/>
          <w:lang w:eastAsia="fr-CA"/>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3897"/>
      </w:tblGrid>
      <w:tr w:rsidR="00BC4869" w:rsidRPr="00CB4A7D" w14:paraId="0E81EE2C" w14:textId="77777777" w:rsidTr="001921A7">
        <w:tc>
          <w:tcPr>
            <w:tcW w:w="4815" w:type="dxa"/>
          </w:tcPr>
          <w:p w14:paraId="1EFA75D2" w14:textId="77777777" w:rsidR="00BC4869" w:rsidRPr="00387EA3" w:rsidRDefault="00BC4869" w:rsidP="001921A7">
            <w:pPr>
              <w:jc w:val="both"/>
              <w:rPr>
                <w:rFonts w:ascii="Calibri" w:hAnsi="Calibri" w:cs="Calibri"/>
                <w:sz w:val="22"/>
                <w:szCs w:val="22"/>
              </w:rPr>
            </w:pPr>
            <w:r w:rsidRPr="00387EA3">
              <w:rPr>
                <w:rFonts w:ascii="Calibri" w:hAnsi="Calibri" w:cs="Calibri"/>
                <w:sz w:val="22"/>
                <w:szCs w:val="22"/>
              </w:rPr>
              <w:t>Alexandre Béland</w:t>
            </w:r>
          </w:p>
        </w:tc>
        <w:tc>
          <w:tcPr>
            <w:tcW w:w="4921" w:type="dxa"/>
          </w:tcPr>
          <w:p w14:paraId="0986AC05" w14:textId="77777777" w:rsidR="00BC4869" w:rsidRPr="00CB4A7D" w:rsidRDefault="00BC4869" w:rsidP="001921A7">
            <w:pPr>
              <w:jc w:val="both"/>
              <w:rPr>
                <w:rFonts w:ascii="Calibri" w:hAnsi="Calibri" w:cs="Calibri"/>
                <w:sz w:val="22"/>
                <w:szCs w:val="22"/>
              </w:rPr>
            </w:pPr>
            <w:r w:rsidRPr="00CB4A7D">
              <w:rPr>
                <w:rFonts w:ascii="Calibri" w:hAnsi="Calibri" w:cs="Calibri"/>
                <w:sz w:val="22"/>
                <w:szCs w:val="22"/>
              </w:rPr>
              <w:t>Erin O’Hare</w:t>
            </w:r>
          </w:p>
        </w:tc>
      </w:tr>
      <w:tr w:rsidR="00BC4869" w:rsidRPr="00CB4A7D" w14:paraId="2F01CD06" w14:textId="77777777" w:rsidTr="001921A7">
        <w:trPr>
          <w:trHeight w:val="191"/>
        </w:trPr>
        <w:tc>
          <w:tcPr>
            <w:tcW w:w="4815" w:type="dxa"/>
          </w:tcPr>
          <w:p w14:paraId="299AC3DC" w14:textId="77777777" w:rsidR="00BC4869" w:rsidRPr="00387EA3" w:rsidRDefault="00BC4869" w:rsidP="001921A7">
            <w:pPr>
              <w:jc w:val="both"/>
              <w:rPr>
                <w:rFonts w:asciiTheme="minorHAnsi" w:hAnsiTheme="minorHAnsi" w:cstheme="minorHAnsi"/>
                <w:sz w:val="22"/>
                <w:szCs w:val="22"/>
              </w:rPr>
            </w:pPr>
            <w:r w:rsidRPr="00387EA3">
              <w:rPr>
                <w:rFonts w:asciiTheme="minorHAnsi" w:eastAsiaTheme="minorEastAsia" w:hAnsiTheme="minorHAnsi" w:cstheme="minorHAnsi"/>
                <w:noProof/>
                <w:sz w:val="22"/>
                <w:szCs w:val="22"/>
                <w:lang w:val="fr-FR"/>
              </w:rPr>
              <w:t>Agent d’information et de projet</w:t>
            </w:r>
          </w:p>
        </w:tc>
        <w:tc>
          <w:tcPr>
            <w:tcW w:w="4921" w:type="dxa"/>
          </w:tcPr>
          <w:p w14:paraId="31589967" w14:textId="77777777" w:rsidR="00BC4869" w:rsidRPr="00CB4A7D" w:rsidRDefault="00BC4869" w:rsidP="001921A7">
            <w:pPr>
              <w:jc w:val="both"/>
              <w:rPr>
                <w:rFonts w:asciiTheme="minorHAnsi" w:eastAsiaTheme="minorEastAsia" w:hAnsiTheme="minorHAnsi" w:cstheme="minorHAnsi"/>
                <w:noProof/>
                <w:sz w:val="22"/>
                <w:szCs w:val="22"/>
                <w:lang w:val="fr-FR"/>
              </w:rPr>
            </w:pPr>
            <w:r w:rsidRPr="00CB4A7D">
              <w:rPr>
                <w:rFonts w:asciiTheme="minorHAnsi" w:eastAsiaTheme="minorEastAsia" w:hAnsiTheme="minorHAnsi" w:cstheme="minorHAnsi"/>
                <w:noProof/>
                <w:sz w:val="22"/>
                <w:szCs w:val="22"/>
                <w:lang w:val="fr-FR"/>
              </w:rPr>
              <w:t>Directrice générale</w:t>
            </w:r>
          </w:p>
        </w:tc>
      </w:tr>
      <w:tr w:rsidR="00BC4869" w:rsidRPr="00CB4A7D" w14:paraId="08B01455" w14:textId="77777777" w:rsidTr="001921A7">
        <w:trPr>
          <w:trHeight w:val="82"/>
        </w:trPr>
        <w:tc>
          <w:tcPr>
            <w:tcW w:w="4815" w:type="dxa"/>
          </w:tcPr>
          <w:p w14:paraId="73233964" w14:textId="77777777" w:rsidR="00BC4869" w:rsidRPr="00387EA3" w:rsidRDefault="00BC4869" w:rsidP="001921A7">
            <w:pPr>
              <w:jc w:val="both"/>
              <w:rPr>
                <w:rFonts w:ascii="Calibri" w:hAnsi="Calibri" w:cs="Calibri"/>
                <w:sz w:val="22"/>
                <w:szCs w:val="22"/>
              </w:rPr>
            </w:pPr>
            <w:r w:rsidRPr="00387EA3">
              <w:rPr>
                <w:rFonts w:ascii="Calibri" w:hAnsi="Calibri" w:cs="Calibri"/>
                <w:sz w:val="22"/>
                <w:szCs w:val="22"/>
              </w:rPr>
              <w:t>Fonds d’Action Saint-Laurent</w:t>
            </w:r>
          </w:p>
        </w:tc>
        <w:tc>
          <w:tcPr>
            <w:tcW w:w="4921" w:type="dxa"/>
          </w:tcPr>
          <w:p w14:paraId="295DA5D8" w14:textId="77777777" w:rsidR="00BC4869" w:rsidRPr="00CB4A7D" w:rsidRDefault="00BC4869" w:rsidP="001921A7">
            <w:pPr>
              <w:jc w:val="both"/>
              <w:rPr>
                <w:rFonts w:ascii="Calibri" w:hAnsi="Calibri" w:cs="Calibri"/>
                <w:sz w:val="22"/>
                <w:szCs w:val="22"/>
              </w:rPr>
            </w:pPr>
            <w:r w:rsidRPr="00CB4A7D">
              <w:rPr>
                <w:rFonts w:ascii="Calibri" w:hAnsi="Calibri" w:cs="Calibri"/>
                <w:sz w:val="22"/>
                <w:szCs w:val="22"/>
              </w:rPr>
              <w:t>Comité ZIP du Haut Saint-Laurent</w:t>
            </w:r>
          </w:p>
        </w:tc>
      </w:tr>
      <w:tr w:rsidR="00BC4869" w:rsidRPr="00CB4A7D" w14:paraId="4689095E" w14:textId="77777777" w:rsidTr="001921A7">
        <w:tc>
          <w:tcPr>
            <w:tcW w:w="4815" w:type="dxa"/>
          </w:tcPr>
          <w:p w14:paraId="6608B195" w14:textId="77777777" w:rsidR="00BC4869" w:rsidRPr="00DA5719" w:rsidRDefault="00E16B8E" w:rsidP="001921A7">
            <w:pPr>
              <w:jc w:val="both"/>
              <w:rPr>
                <w:rFonts w:ascii="Roboto" w:hAnsi="Roboto"/>
                <w:color w:val="222222"/>
                <w:sz w:val="21"/>
                <w:szCs w:val="21"/>
                <w:shd w:val="clear" w:color="auto" w:fill="FFFFFF"/>
              </w:rPr>
            </w:pPr>
            <w:hyperlink r:id="rId10" w:history="1"/>
            <w:hyperlink r:id="rId11" w:history="1">
              <w:r w:rsidR="00BC4869" w:rsidRPr="00387EA3">
                <w:rPr>
                  <w:rStyle w:val="Lienhypertexte"/>
                  <w:rFonts w:asciiTheme="minorHAnsi" w:hAnsiTheme="minorHAnsi" w:cstheme="minorHAnsi"/>
                  <w:sz w:val="22"/>
                  <w:szCs w:val="22"/>
                </w:rPr>
                <w:t>alexandre.beland@fondsdactionsaintlaurent.org</w:t>
              </w:r>
            </w:hyperlink>
          </w:p>
        </w:tc>
        <w:tc>
          <w:tcPr>
            <w:tcW w:w="4921" w:type="dxa"/>
          </w:tcPr>
          <w:p w14:paraId="76917D83" w14:textId="77777777" w:rsidR="00BC4869" w:rsidRPr="00CB4A7D" w:rsidRDefault="00BC4869" w:rsidP="001921A7">
            <w:pPr>
              <w:jc w:val="both"/>
            </w:pPr>
            <w:bookmarkStart w:id="0" w:name="_GoBack"/>
            <w:r w:rsidRPr="00020508">
              <w:rPr>
                <w:rStyle w:val="Lienhypertexte"/>
                <w:rFonts w:asciiTheme="minorHAnsi" w:hAnsiTheme="minorHAnsi" w:cstheme="minorHAnsi"/>
              </w:rPr>
              <w:t>dg@ziphsl.org</w:t>
            </w:r>
            <w:bookmarkEnd w:id="0"/>
          </w:p>
        </w:tc>
      </w:tr>
    </w:tbl>
    <w:p w14:paraId="123941E1" w14:textId="77777777" w:rsidR="00531A37" w:rsidRDefault="00531A37"/>
    <w:sectPr w:rsidR="00531A37" w:rsidSect="00270AAA">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5E2F3" w14:textId="77777777" w:rsidR="00E16B8E" w:rsidRDefault="00E16B8E" w:rsidP="00270AAA">
      <w:pPr>
        <w:spacing w:after="0" w:line="240" w:lineRule="auto"/>
      </w:pPr>
      <w:r>
        <w:separator/>
      </w:r>
    </w:p>
  </w:endnote>
  <w:endnote w:type="continuationSeparator" w:id="0">
    <w:p w14:paraId="5C73069B" w14:textId="77777777" w:rsidR="00E16B8E" w:rsidRDefault="00E16B8E" w:rsidP="00270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367B2" w14:textId="77777777" w:rsidR="00531A37" w:rsidRDefault="00531A37">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BEDC" w14:textId="77777777" w:rsidR="00531A37" w:rsidRDefault="00531A37">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807FA" w14:textId="77777777" w:rsidR="00531A37" w:rsidRDefault="00531A3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5E2E1" w14:textId="77777777" w:rsidR="00E16B8E" w:rsidRDefault="00E16B8E" w:rsidP="00270AAA">
      <w:pPr>
        <w:spacing w:after="0" w:line="240" w:lineRule="auto"/>
      </w:pPr>
      <w:r>
        <w:separator/>
      </w:r>
    </w:p>
  </w:footnote>
  <w:footnote w:type="continuationSeparator" w:id="0">
    <w:p w14:paraId="6E69D5E6" w14:textId="77777777" w:rsidR="00E16B8E" w:rsidRDefault="00E16B8E" w:rsidP="00270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03444" w14:textId="77777777" w:rsidR="00531A37" w:rsidRDefault="00531A37">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38E16" w14:textId="77777777" w:rsidR="00270AAA" w:rsidRPr="00270AAA" w:rsidRDefault="00BC4869" w:rsidP="00270AAA">
    <w:pPr>
      <w:spacing w:after="0" w:line="240" w:lineRule="auto"/>
      <w:jc w:val="right"/>
      <w:rPr>
        <w:rFonts w:ascii="Calibri" w:hAnsi="Calibri" w:cs="Calibri"/>
        <w:b/>
        <w:sz w:val="26"/>
        <w:szCs w:val="26"/>
      </w:rPr>
    </w:pPr>
    <w:r>
      <w:rPr>
        <w:rFonts w:ascii="Calibri" w:hAnsi="Calibri" w:cs="Calibri"/>
        <w:b/>
        <w:noProof/>
        <w:sz w:val="26"/>
        <w:szCs w:val="26"/>
        <w:lang w:eastAsia="fr-CA"/>
      </w:rPr>
      <w:drawing>
        <wp:anchor distT="0" distB="0" distL="114300" distR="114300" simplePos="0" relativeHeight="251660288" behindDoc="0" locked="0" layoutInCell="1" allowOverlap="1" wp14:anchorId="429B5373" wp14:editId="5BDD4070">
          <wp:simplePos x="0" y="0"/>
          <wp:positionH relativeFrom="column">
            <wp:posOffset>3850543</wp:posOffset>
          </wp:positionH>
          <wp:positionV relativeFrom="paragraph">
            <wp:posOffset>-425255</wp:posOffset>
          </wp:positionV>
          <wp:extent cx="1541585" cy="340718"/>
          <wp:effectExtent l="0" t="0" r="1905"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ouvernement Québe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1585" cy="340718"/>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noProof/>
        <w:sz w:val="26"/>
        <w:szCs w:val="26"/>
        <w:lang w:eastAsia="fr-CA"/>
      </w:rPr>
      <w:drawing>
        <wp:anchor distT="0" distB="0" distL="114300" distR="114300" simplePos="0" relativeHeight="251661312" behindDoc="0" locked="0" layoutInCell="1" allowOverlap="1" wp14:anchorId="3A3C387D" wp14:editId="334FE130">
          <wp:simplePos x="0" y="0"/>
          <wp:positionH relativeFrom="column">
            <wp:posOffset>1007159</wp:posOffset>
          </wp:positionH>
          <wp:positionV relativeFrom="paragraph">
            <wp:posOffset>-424180</wp:posOffset>
          </wp:positionV>
          <wp:extent cx="1143000" cy="72853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AS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43000" cy="728530"/>
                  </a:xfrm>
                  <a:prstGeom prst="rect">
                    <a:avLst/>
                  </a:prstGeom>
                </pic:spPr>
              </pic:pic>
            </a:graphicData>
          </a:graphic>
        </wp:anchor>
      </w:drawing>
    </w:r>
    <w:r>
      <w:rPr>
        <w:rFonts w:ascii="Calibri" w:hAnsi="Calibri" w:cs="Calibri"/>
        <w:b/>
        <w:noProof/>
        <w:sz w:val="26"/>
        <w:szCs w:val="26"/>
        <w:lang w:eastAsia="fr-CA"/>
      </w:rPr>
      <w:drawing>
        <wp:anchor distT="0" distB="0" distL="114300" distR="114300" simplePos="0" relativeHeight="251662336" behindDoc="0" locked="0" layoutInCell="1" allowOverlap="1" wp14:anchorId="1A7EB6BF" wp14:editId="0A357BBB">
          <wp:simplePos x="0" y="0"/>
          <wp:positionH relativeFrom="margin">
            <wp:posOffset>2119679</wp:posOffset>
          </wp:positionH>
          <wp:positionV relativeFrom="paragraph">
            <wp:posOffset>-304800</wp:posOffset>
          </wp:positionV>
          <wp:extent cx="1500505" cy="608965"/>
          <wp:effectExtent l="0" t="0" r="444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rogramme Maritime Biodiversité.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00505" cy="608965"/>
                  </a:xfrm>
                  <a:prstGeom prst="rect">
                    <a:avLst/>
                  </a:prstGeom>
                </pic:spPr>
              </pic:pic>
            </a:graphicData>
          </a:graphic>
        </wp:anchor>
      </w:drawing>
    </w:r>
    <w:r w:rsidRPr="00270AAA">
      <w:rPr>
        <w:rFonts w:ascii="Calibri" w:eastAsia="Calibri" w:hAnsi="Calibri"/>
        <w:noProof/>
        <w:sz w:val="26"/>
        <w:szCs w:val="26"/>
        <w:lang w:eastAsia="fr-CA"/>
      </w:rPr>
      <w:drawing>
        <wp:anchor distT="0" distB="0" distL="114300" distR="114300" simplePos="0" relativeHeight="251659264" behindDoc="0" locked="0" layoutInCell="1" allowOverlap="1" wp14:anchorId="51FDE479" wp14:editId="1432E35B">
          <wp:simplePos x="0" y="0"/>
          <wp:positionH relativeFrom="margin">
            <wp:align>left</wp:align>
          </wp:positionH>
          <wp:positionV relativeFrom="paragraph">
            <wp:posOffset>-311345</wp:posOffset>
          </wp:positionV>
          <wp:extent cx="855345" cy="612775"/>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55345" cy="612775"/>
                  </a:xfrm>
                  <a:prstGeom prst="rect">
                    <a:avLst/>
                  </a:prstGeom>
                  <a:noFill/>
                </pic:spPr>
              </pic:pic>
            </a:graphicData>
          </a:graphic>
          <wp14:sizeRelH relativeFrom="margin">
            <wp14:pctWidth>0</wp14:pctWidth>
          </wp14:sizeRelH>
          <wp14:sizeRelV relativeFrom="margin">
            <wp14:pctHeight>0</wp14:pctHeight>
          </wp14:sizeRelV>
        </wp:anchor>
      </w:drawing>
    </w:r>
    <w:r w:rsidR="00270AAA" w:rsidRPr="00270AAA">
      <w:rPr>
        <w:sz w:val="26"/>
        <w:szCs w:val="26"/>
      </w:rPr>
      <w:ptab w:relativeTo="margin" w:alignment="right" w:leader="none"/>
    </w:r>
    <w:r w:rsidR="00270AAA" w:rsidRPr="00270AAA">
      <w:rPr>
        <w:rFonts w:ascii="Calibri" w:hAnsi="Calibri" w:cs="Calibri"/>
        <w:b/>
        <w:sz w:val="26"/>
        <w:szCs w:val="26"/>
      </w:rPr>
      <w:t>COMMUNIQUÉ DE PRESSE</w:t>
    </w:r>
  </w:p>
  <w:p w14:paraId="33DECD37" w14:textId="77777777" w:rsidR="00270AAA" w:rsidRPr="00270AAA" w:rsidRDefault="00270AAA" w:rsidP="00270AAA">
    <w:pPr>
      <w:pBdr>
        <w:bottom w:val="single" w:sz="4" w:space="0" w:color="auto"/>
      </w:pBdr>
      <w:spacing w:after="0" w:line="240" w:lineRule="auto"/>
      <w:jc w:val="right"/>
      <w:rPr>
        <w:rFonts w:ascii="Calibri" w:hAnsi="Calibri" w:cs="Calibri"/>
        <w:b/>
        <w:i/>
        <w:sz w:val="26"/>
        <w:szCs w:val="26"/>
        <w:lang w:val="fr-FR"/>
      </w:rPr>
    </w:pPr>
    <w:r w:rsidRPr="00270AAA">
      <w:rPr>
        <w:rFonts w:ascii="Calibri" w:hAnsi="Calibri" w:cs="Calibri"/>
        <w:b/>
        <w:i/>
        <w:sz w:val="26"/>
        <w:szCs w:val="26"/>
        <w:lang w:val="fr-FR"/>
      </w:rPr>
      <w:t>Pour diffusion immédiate</w:t>
    </w:r>
  </w:p>
  <w:p w14:paraId="05738E20" w14:textId="77777777" w:rsidR="00270AAA" w:rsidRPr="00270AAA" w:rsidRDefault="00270AAA">
    <w:pPr>
      <w:pStyle w:val="En-tte"/>
      <w:rPr>
        <w:lang w:val="fr-F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8A710" w14:textId="77777777" w:rsidR="00531A37" w:rsidRDefault="00531A3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AAA"/>
    <w:rsid w:val="00000ADA"/>
    <w:rsid w:val="00020508"/>
    <w:rsid w:val="002138EB"/>
    <w:rsid w:val="00270AAA"/>
    <w:rsid w:val="00280F16"/>
    <w:rsid w:val="00285005"/>
    <w:rsid w:val="002F1C52"/>
    <w:rsid w:val="00304345"/>
    <w:rsid w:val="003854A5"/>
    <w:rsid w:val="00425471"/>
    <w:rsid w:val="00471770"/>
    <w:rsid w:val="004908FC"/>
    <w:rsid w:val="004F0C6E"/>
    <w:rsid w:val="00531A37"/>
    <w:rsid w:val="008349AD"/>
    <w:rsid w:val="008D22E5"/>
    <w:rsid w:val="00963147"/>
    <w:rsid w:val="00A418E4"/>
    <w:rsid w:val="00B40018"/>
    <w:rsid w:val="00BC4869"/>
    <w:rsid w:val="00C8350B"/>
    <w:rsid w:val="00CB12D6"/>
    <w:rsid w:val="00D1330B"/>
    <w:rsid w:val="00D23EDA"/>
    <w:rsid w:val="00D66535"/>
    <w:rsid w:val="00E16B8E"/>
    <w:rsid w:val="00EB1677"/>
    <w:rsid w:val="00F9329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8D506"/>
  <w15:chartTrackingRefBased/>
  <w15:docId w15:val="{E753C65E-12B5-4FEA-BB9E-A4ABC830D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70AAA"/>
    <w:pPr>
      <w:tabs>
        <w:tab w:val="center" w:pos="4320"/>
        <w:tab w:val="right" w:pos="8640"/>
      </w:tabs>
      <w:spacing w:after="0" w:line="240" w:lineRule="auto"/>
    </w:pPr>
  </w:style>
  <w:style w:type="character" w:customStyle="1" w:styleId="En-tteCar">
    <w:name w:val="En-tête Car"/>
    <w:basedOn w:val="Policepardfaut"/>
    <w:link w:val="En-tte"/>
    <w:uiPriority w:val="99"/>
    <w:rsid w:val="00270AAA"/>
  </w:style>
  <w:style w:type="paragraph" w:styleId="Pieddepage">
    <w:name w:val="footer"/>
    <w:basedOn w:val="Normal"/>
    <w:link w:val="PieddepageCar"/>
    <w:uiPriority w:val="99"/>
    <w:unhideWhenUsed/>
    <w:rsid w:val="00270AA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0AAA"/>
  </w:style>
  <w:style w:type="character" w:styleId="Lienhypertexte">
    <w:name w:val="Hyperlink"/>
    <w:rsid w:val="00BC4869"/>
    <w:rPr>
      <w:color w:val="0000FF"/>
      <w:u w:val="single"/>
    </w:rPr>
  </w:style>
  <w:style w:type="paragraph" w:styleId="NormalWeb">
    <w:name w:val="Normal (Web)"/>
    <w:basedOn w:val="Normal"/>
    <w:uiPriority w:val="99"/>
    <w:unhideWhenUsed/>
    <w:rsid w:val="00BC4869"/>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rsid w:val="00BC4869"/>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F0C6E"/>
    <w:rPr>
      <w:sz w:val="16"/>
      <w:szCs w:val="16"/>
    </w:rPr>
  </w:style>
  <w:style w:type="paragraph" w:styleId="Commentaire">
    <w:name w:val="annotation text"/>
    <w:basedOn w:val="Normal"/>
    <w:link w:val="CommentaireCar"/>
    <w:uiPriority w:val="99"/>
    <w:semiHidden/>
    <w:unhideWhenUsed/>
    <w:rsid w:val="004F0C6E"/>
    <w:pPr>
      <w:spacing w:line="240" w:lineRule="auto"/>
    </w:pPr>
    <w:rPr>
      <w:sz w:val="20"/>
      <w:szCs w:val="20"/>
    </w:rPr>
  </w:style>
  <w:style w:type="character" w:customStyle="1" w:styleId="CommentaireCar">
    <w:name w:val="Commentaire Car"/>
    <w:basedOn w:val="Policepardfaut"/>
    <w:link w:val="Commentaire"/>
    <w:uiPriority w:val="99"/>
    <w:semiHidden/>
    <w:rsid w:val="004F0C6E"/>
    <w:rPr>
      <w:sz w:val="20"/>
      <w:szCs w:val="20"/>
    </w:rPr>
  </w:style>
  <w:style w:type="paragraph" w:styleId="Objetducommentaire">
    <w:name w:val="annotation subject"/>
    <w:basedOn w:val="Commentaire"/>
    <w:next w:val="Commentaire"/>
    <w:link w:val="ObjetducommentaireCar"/>
    <w:uiPriority w:val="99"/>
    <w:semiHidden/>
    <w:unhideWhenUsed/>
    <w:rsid w:val="004F0C6E"/>
    <w:rPr>
      <w:b/>
      <w:bCs/>
    </w:rPr>
  </w:style>
  <w:style w:type="character" w:customStyle="1" w:styleId="ObjetducommentaireCar">
    <w:name w:val="Objet du commentaire Car"/>
    <w:basedOn w:val="CommentaireCar"/>
    <w:link w:val="Objetducommentaire"/>
    <w:uiPriority w:val="99"/>
    <w:semiHidden/>
    <w:rsid w:val="004F0C6E"/>
    <w:rPr>
      <w:b/>
      <w:bCs/>
      <w:sz w:val="20"/>
      <w:szCs w:val="20"/>
    </w:rPr>
  </w:style>
  <w:style w:type="paragraph" w:styleId="Textedebulles">
    <w:name w:val="Balloon Text"/>
    <w:basedOn w:val="Normal"/>
    <w:link w:val="TextedebullesCar"/>
    <w:uiPriority w:val="99"/>
    <w:semiHidden/>
    <w:unhideWhenUsed/>
    <w:rsid w:val="004F0C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0C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95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ondsdactionsaintlaurent.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alexandre.beland@fondsdactionsaintlaurent.org"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transports.gouv.qc.ca/fr/ministere/role_ministere/avantage-st-laurent/Pages/avantage-st-laurent.aspx"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3212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 Bilodeau</dc:creator>
  <cp:keywords/>
  <dc:description/>
  <cp:lastModifiedBy>Adjointe - Comité Zip Haut St-Laurent - adjointe@ziphsl.org</cp:lastModifiedBy>
  <cp:revision>2</cp:revision>
  <dcterms:created xsi:type="dcterms:W3CDTF">2022-01-24T15:57:00Z</dcterms:created>
  <dcterms:modified xsi:type="dcterms:W3CDTF">2022-01-24T15:57:00Z</dcterms:modified>
</cp:coreProperties>
</file>